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spacing w:line="54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2024</w:t>
      </w:r>
      <w:r>
        <w:rPr>
          <w:rFonts w:hint="eastAsia" w:ascii="方正小标宋简体" w:hAnsi="黑体" w:eastAsia="方正小标宋简体"/>
          <w:sz w:val="36"/>
          <w:szCs w:val="36"/>
        </w:rPr>
        <w:t>年度全国教育科学规划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项目选题</w:t>
      </w:r>
      <w:r>
        <w:rPr>
          <w:rFonts w:hint="eastAsia" w:ascii="方正小标宋简体" w:hAnsi="黑体" w:eastAsia="方正小标宋简体"/>
          <w:sz w:val="36"/>
          <w:szCs w:val="36"/>
        </w:rPr>
        <w:t>指南</w:t>
      </w:r>
    </w:p>
    <w:p/>
    <w:p>
      <w:pPr>
        <w:spacing w:before="156" w:beforeLines="50" w:after="156" w:afterLines="50" w:line="600" w:lineRule="exact"/>
        <w:ind w:firstLine="640" w:firstLineChars="200"/>
        <w:rPr>
          <w:rFonts w:hint="eastAsia"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全国教育科学规划年度项目指国家重点、一般、青年、西部项目，教育部重点、青年项目。选题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指南分为重点条目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重要方向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两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类。申报国家重点项目必须从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相应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条目中选择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不予受理。如确有需要，可对选题进行适当微调，但不得大幅压缩或改变研究内容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。每个选题原则上只确立1个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立项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项目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申报其他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类别项目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可以自拟选题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</w:p>
    <w:p>
      <w:pPr>
        <w:spacing w:before="156" w:beforeLines="50" w:after="156" w:afterLines="50" w:line="6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重点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条目</w:t>
      </w:r>
    </w:p>
    <w:p>
      <w:pPr>
        <w:spacing w:before="156" w:beforeLines="50" w:after="156" w:afterLines="50" w:line="6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中国教育学建设研究系列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马克思主义教育思想理论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新时代教育功能与属性研究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中国教育传统的哲学阐释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教育公平实践的理论建构研究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教育普及实践的理论建构研究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中国数字教育实践的理论建构研究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教育学教学研究体系深层变革研究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新型教育学院建设研究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《中国教育学建设指导意见》编制研究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《中国教育学论纲》教材编写研究</w:t>
      </w:r>
    </w:p>
    <w:p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教育强国建设阶段性指标与评估研究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0-6岁托幼一体化研究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适应学龄人口波动的中小学一贯制办学研究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国家中小学教材质量监测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与评价</w:t>
      </w:r>
      <w:r>
        <w:rPr>
          <w:rFonts w:hint="eastAsia" w:ascii="仿宋_GB2312" w:eastAsia="仿宋_GB2312"/>
          <w:sz w:val="32"/>
          <w:szCs w:val="32"/>
          <w:lang w:eastAsia="zh-CN"/>
        </w:rPr>
        <w:t>机制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市县结合的基础教育管理体制研究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基础教育学制改革研究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市域产教联合体</w:t>
      </w:r>
      <w:r>
        <w:rPr>
          <w:rFonts w:hint="eastAsia" w:ascii="仿宋_GB2312" w:eastAsia="仿宋_GB2312"/>
          <w:sz w:val="32"/>
          <w:szCs w:val="32"/>
        </w:rPr>
        <w:t>建设调查</w:t>
      </w:r>
      <w:r>
        <w:rPr>
          <w:rFonts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全球大学生创新指数研究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扩大优质本科教育资源研究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博士研究生教育全球竞争力比较研究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孤独症群体全生命周期培养体系构建</w:t>
      </w:r>
      <w:r>
        <w:rPr>
          <w:rFonts w:hint="eastAsia" w:ascii="仿宋_GB2312" w:eastAsia="仿宋_GB2312"/>
          <w:sz w:val="32"/>
          <w:szCs w:val="32"/>
          <w:lang w:eastAsia="zh-CN"/>
        </w:rPr>
        <w:t>和标准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全国学生心理健康监测体系研究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健康学校建设指标体系研究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综合性大学毕业入职教师职业发展跟踪研究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国家智慧教育公共服务平台应用示范标准研究</w:t>
      </w:r>
    </w:p>
    <w:p>
      <w:pPr>
        <w:pStyle w:val="2"/>
      </w:pPr>
    </w:p>
    <w:p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重要方向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教育与人口双向影响研究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高质量教育体系研究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拔尖创新人才一体化培养研究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重大战略区域教育现代化研究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教育扩大中等收入群体机制研究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教育对经济社会发展贡献研究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区域整体发展素质教育研究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港澳教育融入教育强国建设研究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人口变动下教育标准调整研究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教育法典编纂研究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基于文化自信的教育自信研究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新时代教育实践经验理论建构研究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新中国成立75周年教育的进步观研究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社会的教育观念史研究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人工智能时代核心素养导向的基础教育课程改革研究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“三科”教材使用情况调查研究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数字教材研究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苏区红色教材收集整理研究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学龄人口变动背景下“小班化”教学研究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学区化集团化办学评估研究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多子女同校就读（长幼随学）实践调查研究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普通高中学生素质素养监测研究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数字化时代中小学科学教育新特征研究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中小学生科学素养评价研究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学校体育改革路径研究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学校美育评价体系建设研究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劳动教育内容与实施国际比较研究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新时代教研体系建设研究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新型工业化背景下行业产教融合共同体推进路径研究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职业教育数字化转型升级研究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面向2035年高等教育布局结构研究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部省合建高校振兴中西部高等教育研究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地方高校服务区域高质量发展研究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新型研究型大学研究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第二轮“双一流”建设绩效评价研究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大学生学术思维能力培育研究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高校战略紧缺和新兴交叉学科建设研究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高校提高人才自主培养质量的课程体系建设研究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涉外法治人才培养研究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公费师范生本研衔接培养研究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师范院校核心办学指标监测研究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专业学位研究生培养质量监测研究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工程硕博士培养模式改革研究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大中小学铸牢中华民族共同体意识教育一体化研究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民族教育理论重构研究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民族地区教育事业发展调查研究  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面向民族地区普通话推广的语言学习研究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总体国家安全视域下边境教育发展研究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当代中国教育家群像研究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教育家精神课程教材资源开发研究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教师节40年叙事研究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人机复合教师研究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Z世代班主任辅导员工作研究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中小学教师非教育教学负担治理研究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心理健康教师专业标准研究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高校文科师资队伍现状调查研究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高校思政课教师教育能力评价研究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教育收费政策体系研究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学校、社会、数字三维教育空间融合研究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脑科学的教育应用研究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大语言模型教育应用研究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数字人文人才培养研究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中小学人工智能伦理教育研究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大学生学习过程数字化建模与评估研究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数智赋能高校评估新范式研究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基于数字基座的学习型社会建设研究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教育数字化转型中学习科学理论创新研究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数字教育中的意识形态安全风险及应对研究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数字教育立法研究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国际中文教育专业建设研究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语言国情国力调查研究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教育制度型开放研究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世界主要国家外语教育政策研究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一带一路国家教育合作研究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国际教育援助实施机制研究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中国高校境外办学研究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来华留学本科教育评价标准研究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俄罗斯教育改革研究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联合国教科文组织STEM一类中心建设研究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联合国2030年可持续发展议程教育目标（SDG4）中国进展监测研究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新中国成立75周年学生资助档案文献整理研究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新中国成立75周年教育理论刊物发展研究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经典教育文本研究</w:t>
      </w:r>
    </w:p>
    <w:p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0"/>
        </w:numPr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D4C90"/>
    <w:multiLevelType w:val="singleLevel"/>
    <w:tmpl w:val="59ED4C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0DEDAB3"/>
    <w:multiLevelType w:val="singleLevel"/>
    <w:tmpl w:val="60DEDA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YWJiMTMzMjZmZDk2YTcwZjQ0NzhiYWFhMDM4ZWYifQ=="/>
  </w:docVars>
  <w:rsids>
    <w:rsidRoot w:val="1C437727"/>
    <w:rsid w:val="0136732D"/>
    <w:rsid w:val="0187402D"/>
    <w:rsid w:val="024261A6"/>
    <w:rsid w:val="034E4899"/>
    <w:rsid w:val="05DE61E6"/>
    <w:rsid w:val="0DE81D45"/>
    <w:rsid w:val="0EB86D02"/>
    <w:rsid w:val="116B5493"/>
    <w:rsid w:val="123553DF"/>
    <w:rsid w:val="12687B96"/>
    <w:rsid w:val="133004EB"/>
    <w:rsid w:val="141904B5"/>
    <w:rsid w:val="142259AD"/>
    <w:rsid w:val="150B73C1"/>
    <w:rsid w:val="15C56A7A"/>
    <w:rsid w:val="15DA2304"/>
    <w:rsid w:val="197F2511"/>
    <w:rsid w:val="1B55324D"/>
    <w:rsid w:val="1C437727"/>
    <w:rsid w:val="1D6B6159"/>
    <w:rsid w:val="1E5A3411"/>
    <w:rsid w:val="2684130D"/>
    <w:rsid w:val="2A336250"/>
    <w:rsid w:val="2C3B13EC"/>
    <w:rsid w:val="2E43476A"/>
    <w:rsid w:val="30AE4883"/>
    <w:rsid w:val="32207ED7"/>
    <w:rsid w:val="32805DAB"/>
    <w:rsid w:val="33266952"/>
    <w:rsid w:val="34270BD4"/>
    <w:rsid w:val="347831DE"/>
    <w:rsid w:val="35281D65"/>
    <w:rsid w:val="3632560E"/>
    <w:rsid w:val="3A617AD4"/>
    <w:rsid w:val="3AD1231B"/>
    <w:rsid w:val="3B2319C9"/>
    <w:rsid w:val="3B5A188F"/>
    <w:rsid w:val="3E5A656F"/>
    <w:rsid w:val="425E2DCE"/>
    <w:rsid w:val="42B61B65"/>
    <w:rsid w:val="47D95B3E"/>
    <w:rsid w:val="49F70BF1"/>
    <w:rsid w:val="4C583BC9"/>
    <w:rsid w:val="4D422183"/>
    <w:rsid w:val="4EED611E"/>
    <w:rsid w:val="522E717A"/>
    <w:rsid w:val="53DD2C05"/>
    <w:rsid w:val="54624EB9"/>
    <w:rsid w:val="59C52172"/>
    <w:rsid w:val="5A0C7DA1"/>
    <w:rsid w:val="5A44753A"/>
    <w:rsid w:val="5D9D624A"/>
    <w:rsid w:val="5E8C325E"/>
    <w:rsid w:val="5ED846F5"/>
    <w:rsid w:val="5F2B6F1B"/>
    <w:rsid w:val="5FF23595"/>
    <w:rsid w:val="619B1B56"/>
    <w:rsid w:val="61F761CE"/>
    <w:rsid w:val="655D514B"/>
    <w:rsid w:val="66556FFF"/>
    <w:rsid w:val="68540356"/>
    <w:rsid w:val="68A41BAB"/>
    <w:rsid w:val="6A585D0E"/>
    <w:rsid w:val="74B84955"/>
    <w:rsid w:val="75765B5E"/>
    <w:rsid w:val="75B3511C"/>
    <w:rsid w:val="77FA5D85"/>
    <w:rsid w:val="78C0202A"/>
    <w:rsid w:val="7AA9783C"/>
    <w:rsid w:val="7BCD518A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